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13" w:rsidRPr="005E1C44" w:rsidRDefault="009E0813" w:rsidP="009E0813">
      <w:pPr>
        <w:spacing w:after="120"/>
        <w:ind w:left="-900" w:right="-990"/>
        <w:outlineLvl w:val="1"/>
        <w:rPr>
          <w:rFonts w:ascii="Times New Roman" w:hAnsi="Times New Roman"/>
          <w:b/>
          <w:color w:val="020202"/>
          <w:sz w:val="24"/>
          <w:szCs w:val="24"/>
        </w:rPr>
      </w:pPr>
      <w:bookmarkStart w:id="0" w:name="_GoBack"/>
      <w:bookmarkEnd w:id="0"/>
      <w:r w:rsidRPr="005E1C44">
        <w:rPr>
          <w:rFonts w:ascii="Times New Roman" w:hAnsi="Times New Roman"/>
          <w:b/>
          <w:color w:val="020202"/>
          <w:sz w:val="24"/>
          <w:szCs w:val="24"/>
        </w:rPr>
        <w:t>Slavery a Positive Good</w:t>
      </w:r>
    </w:p>
    <w:p w:rsidR="009E0813" w:rsidRPr="005E1C44" w:rsidRDefault="009E0813" w:rsidP="009E0813">
      <w:pPr>
        <w:spacing w:line="336" w:lineRule="atLeast"/>
        <w:ind w:left="-900" w:right="-990"/>
        <w:rPr>
          <w:rFonts w:ascii="Times New Roman" w:hAnsi="Times New Roman"/>
          <w:b/>
          <w:bCs/>
          <w:i/>
          <w:iCs/>
          <w:color w:val="020202"/>
          <w:sz w:val="24"/>
          <w:szCs w:val="24"/>
        </w:rPr>
      </w:pPr>
      <w:r w:rsidRPr="005E1C44">
        <w:rPr>
          <w:rFonts w:ascii="Times New Roman" w:hAnsi="Times New Roman"/>
          <w:b/>
          <w:bCs/>
          <w:i/>
          <w:iCs/>
          <w:color w:val="020202"/>
          <w:sz w:val="24"/>
          <w:szCs w:val="24"/>
        </w:rPr>
        <w:t>John C. Calhoun</w:t>
      </w:r>
    </w:p>
    <w:p w:rsidR="009E0813" w:rsidRPr="005E1C44" w:rsidRDefault="009E0813" w:rsidP="009E0813">
      <w:pPr>
        <w:spacing w:after="336" w:line="336" w:lineRule="atLeast"/>
        <w:ind w:left="-900" w:right="-990"/>
        <w:rPr>
          <w:rFonts w:ascii="Times New Roman" w:hAnsi="Times New Roman"/>
          <w:b/>
          <w:bCs/>
          <w:color w:val="020202"/>
          <w:sz w:val="24"/>
          <w:szCs w:val="24"/>
        </w:rPr>
      </w:pPr>
      <w:r w:rsidRPr="005E1C44">
        <w:rPr>
          <w:rFonts w:ascii="Times New Roman" w:hAnsi="Times New Roman"/>
          <w:b/>
          <w:bCs/>
          <w:color w:val="020202"/>
          <w:sz w:val="24"/>
          <w:szCs w:val="24"/>
        </w:rPr>
        <w:t>February 06, 1837</w:t>
      </w:r>
    </w:p>
    <w:p w:rsidR="009E0813" w:rsidRPr="005E1C44" w:rsidRDefault="009E0813" w:rsidP="009E0813">
      <w:pPr>
        <w:spacing w:after="336" w:line="336" w:lineRule="atLeast"/>
        <w:ind w:left="-900" w:right="-990"/>
        <w:rPr>
          <w:rFonts w:ascii="Times New Roman" w:hAnsi="Times New Roman"/>
          <w:color w:val="020202"/>
          <w:sz w:val="24"/>
          <w:szCs w:val="24"/>
        </w:rPr>
      </w:pPr>
      <w:r w:rsidRPr="005E1C44">
        <w:rPr>
          <w:rFonts w:ascii="Times New Roman" w:hAnsi="Times New Roman"/>
          <w:color w:val="020202"/>
          <w:sz w:val="24"/>
          <w:szCs w:val="24"/>
        </w:rPr>
        <w:t>I do not belong, said Mr. C., to the school which holds that aggression is to be met by concession. Mine is the opposite creed, which teaches that encroachments must be met at the beginning, and that those who act on the opposite principle are prepared to become slaves. In this case, in particular I hold concession or compromise to be fatal. If we concede an inch, concession would follow concession–compromise would follow compromise, until our ranks would be so broken that effectual resistance would be impossible. We must meet the enemy on the frontier, with a fixed determination of maintaining our position at every hazard. Consent to receive these insulting petitions, and the next demand will be that they be referred to a committee in order that they may be deliberated and acted upon. At the last session we were modestly asked to receive them, simply to lay them on the table, without any view to ulterior action. . . . I then said, that the next step would be to refer the petition to a committee, and I already see indications that such is now the intention. If we yield, that will be followed by another, and we will thus proceed, step by step, to the final consummation of the object of these petitions. We are now told that the most effectual mode of arresting the progress of abolition is, to reason it down; and with this view it is urged that the petitions ought to be referred to a committee. That is the very ground which was taken at the last session in the other House, but instead of arresting its progress it has since advanced more rapidly than ever. The most unquestionable right may be rendered doubtful, if once admitted to be a subject of controversy, and that would be the case in the present instance. The subject is beyond the jurisdiction of Congress – they have no right to touch it in any shape or form, or to make it the subject of deliberation or discussion. . . .</w:t>
      </w:r>
    </w:p>
    <w:p w:rsidR="009E0813" w:rsidRPr="005E1C44" w:rsidRDefault="009E0813" w:rsidP="009E0813">
      <w:pPr>
        <w:spacing w:after="336" w:line="336" w:lineRule="atLeast"/>
        <w:ind w:left="-900" w:right="-990"/>
        <w:rPr>
          <w:rFonts w:ascii="Times New Roman" w:hAnsi="Times New Roman"/>
          <w:color w:val="020202"/>
          <w:sz w:val="24"/>
          <w:szCs w:val="24"/>
        </w:rPr>
      </w:pPr>
      <w:r w:rsidRPr="005E1C44">
        <w:rPr>
          <w:rFonts w:ascii="Times New Roman" w:hAnsi="Times New Roman"/>
          <w:color w:val="020202"/>
          <w:sz w:val="24"/>
          <w:szCs w:val="24"/>
        </w:rPr>
        <w:t>As widely as this incendiary spirit has spread, it has not yet infected this body, or the great mass of the intelligent and business portion of the North; but unless it be speedily stopped, it will spread and work upwards till it brings the two great sections of the Union into deadly conflict. This is not a new impression with me. Several years since, in a discussion with one of the Senators from Massachusetts (Mr. Webster), before this fell spirit had showed itself, I then predicted that the doctrine of the proclamation and the Force Bill–that this Government had a right, in the last resort, to determine the extent of its own powers, and enforce its decision at the point of the bayonet, which was so warmly maintained by that Senator, would at no distant day arouse the dormant spirit of abolitionism. I told him that the doctrine was tantamount to the assumption of unlimited power on the part of the Government, and that such would be the impression on the public mind in a large portion of the Union. The consequence would be inevitable. A large portion of the Northern States believed slavery to be a sin, and would consider it as an obligation of conscience to abolish it if they should feel themselves in any degree responsible for its continuance, and that this doctrine would necessarily lead to the belief of such responsibility. I then predicted that it would commence as it has with this fanatical portion of society, and that they would begin their operations on the ignorant, the weak, the young, and the thoughtless –and gradually extend upwards till they would become strong enough to obtain political control, when he and others holding the highest stations in society, would, however reluctant, be compelled to yield to their doctrines, or be driven into obscurity. But four years have since elapsed, and all this is already in a course of regular fulfilment.</w:t>
      </w:r>
    </w:p>
    <w:p w:rsidR="009E0813" w:rsidRPr="005E1C44" w:rsidRDefault="009E0813" w:rsidP="009E0813">
      <w:pPr>
        <w:spacing w:after="336" w:line="336" w:lineRule="atLeast"/>
        <w:ind w:left="-900" w:right="-990"/>
        <w:rPr>
          <w:rFonts w:ascii="Times New Roman" w:hAnsi="Times New Roman"/>
          <w:color w:val="020202"/>
          <w:sz w:val="24"/>
          <w:szCs w:val="24"/>
        </w:rPr>
      </w:pPr>
      <w:r w:rsidRPr="005E1C44">
        <w:rPr>
          <w:rFonts w:ascii="Times New Roman" w:hAnsi="Times New Roman"/>
          <w:color w:val="020202"/>
          <w:sz w:val="24"/>
          <w:szCs w:val="24"/>
        </w:rPr>
        <w:t xml:space="preserve">Standing at the point of time at which we have now arrived, it will not be more difficult to trace the course of future events now than it was then. They who imagine that the spirit now abroad in the North, will die away of itself </w:t>
      </w:r>
      <w:r w:rsidRPr="005E1C44">
        <w:rPr>
          <w:rFonts w:ascii="Times New Roman" w:hAnsi="Times New Roman"/>
          <w:color w:val="020202"/>
          <w:sz w:val="24"/>
          <w:szCs w:val="24"/>
        </w:rPr>
        <w:lastRenderedPageBreak/>
        <w:t>without a shock or convulsion, have formed a very inadequate conception of its real character; it will continue to rise and spread, unless prompt and efficient measures to stay its progress be adopted. Already it has taken possession of the pulpit, of the schools, and, to a considerable extent, of the press; those great instruments by which the mind of the rising generation will be formed.</w:t>
      </w:r>
    </w:p>
    <w:p w:rsidR="009E0813" w:rsidRPr="005E1C44" w:rsidRDefault="009E0813" w:rsidP="009E0813">
      <w:pPr>
        <w:spacing w:after="336" w:line="336" w:lineRule="atLeast"/>
        <w:ind w:left="-900" w:right="-990"/>
        <w:rPr>
          <w:rFonts w:ascii="Times New Roman" w:hAnsi="Times New Roman"/>
          <w:color w:val="020202"/>
          <w:sz w:val="24"/>
          <w:szCs w:val="24"/>
        </w:rPr>
      </w:pPr>
      <w:r w:rsidRPr="005E1C44">
        <w:rPr>
          <w:rFonts w:ascii="Times New Roman" w:hAnsi="Times New Roman"/>
          <w:color w:val="020202"/>
          <w:sz w:val="24"/>
          <w:szCs w:val="24"/>
        </w:rPr>
        <w:t>However sound the great body of the non-slaveholding States are at present, in the course of a few years they will be succeeded by those who will have been taught to hate the people and institutions of nearly one-half of this Union, with a hatred more deadly than one hostile nation ever entertained towards another. It is easy to see the end. By the necessary course of events, if left to themselves, we must become, finally, two people. It is impossible under the deadly hatred which must spring up between the two great nations, if the present causes are permitted to operate unchecked, that we should continue under the same political system. The conflicting elements would burst the Union asunder, powerful as are the links which hold it together. Abolition and the Union cannot coexist. As the friend of the Union I openly proclaim it–and the sooner it is known the better. The former may now be controlled, but in a short time it will be beyond the power of man to arrest the course of events. We of the South will not, cannot, surrender our institutions. To maintain the existing relations between the two races, inhabiting that section of the Union, is indispensable to the peace and happiness of both. It cannot be subverted without drenching the country in blood, and extirpating one or the other of the races. Be it good or bad, [slavery] has grown up with our society and institutions, and is so interwoven with them that to destroy it would be to destroy us as a people. But let me not be understood as admitting, even by implication, that the existing relations between the two races in the slaveholding States is an evil:–far otherwise; I hold it to be a good, as it has thus far proved itself to be to both, and will continue to prove so if not disturbed by the fell spirit of abolition. I appeal to facts. Never before has the black race of Central Africa, from the dawn of history to the present day, attained a condition so civilized and so improved, not only physically, but morally and intellectually.</w:t>
      </w:r>
    </w:p>
    <w:p w:rsidR="009E0813" w:rsidRPr="005E1C44" w:rsidRDefault="009E0813" w:rsidP="009E0813">
      <w:pPr>
        <w:spacing w:after="336" w:line="336" w:lineRule="atLeast"/>
        <w:ind w:left="-900" w:right="-990"/>
        <w:rPr>
          <w:rFonts w:ascii="Times New Roman" w:hAnsi="Times New Roman"/>
          <w:color w:val="020202"/>
          <w:sz w:val="24"/>
          <w:szCs w:val="24"/>
        </w:rPr>
      </w:pPr>
      <w:r w:rsidRPr="005E1C44">
        <w:rPr>
          <w:rFonts w:ascii="Times New Roman" w:hAnsi="Times New Roman"/>
          <w:color w:val="020202"/>
          <w:sz w:val="24"/>
          <w:szCs w:val="24"/>
        </w:rPr>
        <w:t>In the meantime, the white or European race, has not degenerated. It has kept pace with its brethren in other sections of the Union where slavery does not exist. It is odious to make comparison; but I appeal to all sides whether the South is not equal in virtue, intelligence, patriotism, courage, disinterestedness, and all the high qualities which adorn our nature.</w:t>
      </w:r>
    </w:p>
    <w:p w:rsidR="009E0813" w:rsidRPr="005E1C44" w:rsidRDefault="009E0813" w:rsidP="009E0813">
      <w:pPr>
        <w:spacing w:after="336" w:line="336" w:lineRule="atLeast"/>
        <w:ind w:left="-900" w:right="-990"/>
        <w:rPr>
          <w:rFonts w:ascii="Times New Roman" w:hAnsi="Times New Roman"/>
          <w:color w:val="020202"/>
          <w:sz w:val="24"/>
          <w:szCs w:val="24"/>
        </w:rPr>
      </w:pPr>
      <w:r w:rsidRPr="005E1C44">
        <w:rPr>
          <w:rFonts w:ascii="Times New Roman" w:hAnsi="Times New Roman"/>
          <w:color w:val="020202"/>
          <w:sz w:val="24"/>
          <w:szCs w:val="24"/>
        </w:rPr>
        <w:t>But I take higher ground. I hold that in the present state of civilization, where two races of different origin, and distinguished by color, and other physical differences, as well as intellectual, are brought together, the relation now existing in the slaveholding States between the two, is, instead of an evil, a good–a positive good. I feel myself called upon to speak freely upon the subject where the honor and interests of those I represent are involved. I hold then, that there never has yet existed a wealthy and civilized society in which one portion of the community did not, in point of fact, live on the labor of the other. Broad and general as is this assertion, it is fully borne out by history. This is not the proper occasion, but, if it were, it would not be difficult to trace the various devices by which the wealth of all civilized communities has been so unequally divided, and to show by what means so small a share has been allotted to those by whose labor it was produced, and so large a share given to the non-producing classes. The devices are almost innumerable, from the brute force and gross superstition of ancient times, to the subtle and artful fiscal contrivances of modern. I might well challenge a comparison between them and the more direct, simple, and patriarchal mode by which the labor of the African race is, among us, commanded by the European. I may say with truth, that in few countries so much is left to the share of the laborer, and so little exacted from him, or where there is more kind attention paid to him in sickness or infirmities of age. Compare his condition with the tenants of the poor houses in the more civilized portions of Europe–look at the sick, and the old and infirm slave, on one hand, in the midst of his family and friends, under the kind superintending care of his master and mistress, and compare it with the forlorn and wretched condition of the pauper in the poorhouse. But I will not dwell on this aspect of the question; I turn to the political; and here I fearlessly assert that the existing relation between the two races in the South, against which these blind fanatics are waging war, forms the most solid and durable foundation on which to rear free and stable political institutions. It is useless to disguise the fact. There is and always has been in an advanced stage of wealth and civilization, a conflict between labor and capital. The condition of society in the South exempts us from the disorders and dangers resulting from this conflict; and which explains why it is that the political condition of the slaveholding States has been so much more stable and quiet than that of the North. . . . Surrounded as the slaveholding States are with such imminent perils, I rejoice to think that our means of defense are ample, if we shall prove to have the intelligence and spirit to see and apply them before it is too late. All we want is concert, to lay aside all party differences and unite with zeal and energy in repelling approaching dangers. Let there be concert of action, and we shall find ample means of security without resorting to secession or disunion. I speak with full knowledge and a thorough examination of the subject, and for one see my way clearly. . . . I dare not hope that anything I can say will arouse the South to a due sense of danger; I fear it is beyond the power of mortal voice to awaken it in time from the fatal secur</w:t>
      </w:r>
      <w:r>
        <w:rPr>
          <w:rFonts w:ascii="Times New Roman" w:hAnsi="Times New Roman"/>
          <w:color w:val="020202"/>
          <w:sz w:val="24"/>
          <w:szCs w:val="24"/>
        </w:rPr>
        <w:t>ity into which it has fallen.</w:t>
      </w:r>
    </w:p>
    <w:p w:rsidR="00C778F5" w:rsidRDefault="00C778F5"/>
    <w:sectPr w:rsidR="00C778F5" w:rsidSect="009E0813">
      <w:headerReference w:type="even" r:id="rId5"/>
      <w:headerReference w:type="default" r:id="rId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E3" w:rsidRDefault="009E0813" w:rsidP="007C11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BE3" w:rsidRDefault="009E0813" w:rsidP="007E597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E3" w:rsidRDefault="009E0813" w:rsidP="007C11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4BE3" w:rsidRDefault="009E0813" w:rsidP="007E597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13"/>
    <w:rsid w:val="009E0813"/>
    <w:rsid w:val="00C7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F3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13"/>
    <w:rPr>
      <w:rFonts w:ascii="Comic Sans MS" w:eastAsia="Times New Roman" w:hAnsi="Comic Sans MS"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813"/>
    <w:pPr>
      <w:tabs>
        <w:tab w:val="center" w:pos="4320"/>
        <w:tab w:val="right" w:pos="8640"/>
      </w:tabs>
    </w:pPr>
  </w:style>
  <w:style w:type="character" w:customStyle="1" w:styleId="HeaderChar">
    <w:name w:val="Header Char"/>
    <w:basedOn w:val="DefaultParagraphFont"/>
    <w:link w:val="Header"/>
    <w:rsid w:val="009E0813"/>
    <w:rPr>
      <w:rFonts w:ascii="Comic Sans MS" w:eastAsia="Times New Roman" w:hAnsi="Comic Sans MS" w:cs="Times New Roman"/>
      <w:sz w:val="16"/>
      <w:szCs w:val="16"/>
    </w:rPr>
  </w:style>
  <w:style w:type="character" w:styleId="PageNumber">
    <w:name w:val="page number"/>
    <w:basedOn w:val="DefaultParagraphFont"/>
    <w:rsid w:val="009E08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13"/>
    <w:rPr>
      <w:rFonts w:ascii="Comic Sans MS" w:eastAsia="Times New Roman" w:hAnsi="Comic Sans MS"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813"/>
    <w:pPr>
      <w:tabs>
        <w:tab w:val="center" w:pos="4320"/>
        <w:tab w:val="right" w:pos="8640"/>
      </w:tabs>
    </w:pPr>
  </w:style>
  <w:style w:type="character" w:customStyle="1" w:styleId="HeaderChar">
    <w:name w:val="Header Char"/>
    <w:basedOn w:val="DefaultParagraphFont"/>
    <w:link w:val="Header"/>
    <w:rsid w:val="009E0813"/>
    <w:rPr>
      <w:rFonts w:ascii="Comic Sans MS" w:eastAsia="Times New Roman" w:hAnsi="Comic Sans MS" w:cs="Times New Roman"/>
      <w:sz w:val="16"/>
      <w:szCs w:val="16"/>
    </w:rPr>
  </w:style>
  <w:style w:type="character" w:styleId="PageNumber">
    <w:name w:val="page number"/>
    <w:basedOn w:val="DefaultParagraphFont"/>
    <w:rsid w:val="009E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8788</Characters>
  <Application>Microsoft Macintosh Word</Application>
  <DocSecurity>0</DocSecurity>
  <Lines>73</Lines>
  <Paragraphs>20</Paragraphs>
  <ScaleCrop>false</ScaleCrop>
  <Company>Broadwater Academy</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1</cp:revision>
  <dcterms:created xsi:type="dcterms:W3CDTF">2016-11-15T20:09:00Z</dcterms:created>
  <dcterms:modified xsi:type="dcterms:W3CDTF">2016-11-15T20:09:00Z</dcterms:modified>
</cp:coreProperties>
</file>